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884" w:rsidRDefault="001F2884" w:rsidP="001A75AD">
      <w:pPr>
        <w:autoSpaceDE w:val="0"/>
        <w:autoSpaceDN w:val="0"/>
        <w:adjustRightInd w:val="0"/>
        <w:jc w:val="center"/>
        <w:rPr>
          <w:b/>
          <w:bCs/>
        </w:rPr>
      </w:pPr>
    </w:p>
    <w:p w:rsidR="001F2884" w:rsidRDefault="001F2884" w:rsidP="001F2884">
      <w:pPr>
        <w:tabs>
          <w:tab w:val="left" w:pos="613"/>
        </w:tabs>
        <w:autoSpaceDE w:val="0"/>
        <w:autoSpaceDN w:val="0"/>
        <w:adjustRightInd w:val="0"/>
        <w:rPr>
          <w:bCs/>
        </w:rPr>
      </w:pPr>
      <w:r w:rsidRPr="001F2884">
        <w:rPr>
          <w:bCs/>
        </w:rPr>
        <w:t xml:space="preserve">Indicación 7: </w:t>
      </w:r>
      <w:r>
        <w:rPr>
          <w:bCs/>
        </w:rPr>
        <w:t>Aplicar el siguiente instrumento.</w:t>
      </w:r>
      <w:r>
        <w:rPr>
          <w:rStyle w:val="Refdenotaalpie"/>
          <w:bCs/>
        </w:rPr>
        <w:footnoteReference w:id="1"/>
      </w:r>
      <w:r>
        <w:rPr>
          <w:bCs/>
        </w:rPr>
        <w:t xml:space="preserve"> </w:t>
      </w:r>
    </w:p>
    <w:p w:rsidR="001F2884" w:rsidRPr="001F2884" w:rsidRDefault="001F2884" w:rsidP="001F2884">
      <w:pPr>
        <w:tabs>
          <w:tab w:val="left" w:pos="613"/>
        </w:tabs>
        <w:autoSpaceDE w:val="0"/>
        <w:autoSpaceDN w:val="0"/>
        <w:adjustRightInd w:val="0"/>
        <w:rPr>
          <w:bCs/>
        </w:rPr>
      </w:pPr>
      <w:bookmarkStart w:id="0" w:name="_GoBack"/>
      <w:bookmarkEnd w:id="0"/>
    </w:p>
    <w:p w:rsidR="001A75AD" w:rsidRPr="001A75AD" w:rsidRDefault="001A75AD" w:rsidP="001A75AD">
      <w:pPr>
        <w:autoSpaceDE w:val="0"/>
        <w:autoSpaceDN w:val="0"/>
        <w:adjustRightInd w:val="0"/>
        <w:jc w:val="center"/>
        <w:rPr>
          <w:b/>
          <w:bCs/>
        </w:rPr>
      </w:pPr>
      <w:r w:rsidRPr="001A75AD">
        <w:rPr>
          <w:b/>
          <w:bCs/>
        </w:rPr>
        <w:t>Instrumento 3</w:t>
      </w:r>
    </w:p>
    <w:p w:rsidR="001A75AD" w:rsidRPr="001A75AD" w:rsidRDefault="001A75AD" w:rsidP="001A75AD">
      <w:pPr>
        <w:autoSpaceDE w:val="0"/>
        <w:autoSpaceDN w:val="0"/>
        <w:adjustRightInd w:val="0"/>
        <w:jc w:val="center"/>
        <w:rPr>
          <w:b/>
          <w:bCs/>
        </w:rPr>
      </w:pPr>
    </w:p>
    <w:p w:rsidR="001A75AD" w:rsidRPr="001A75AD" w:rsidRDefault="001A75AD" w:rsidP="001A75AD">
      <w:pPr>
        <w:autoSpaceDE w:val="0"/>
        <w:autoSpaceDN w:val="0"/>
        <w:adjustRightInd w:val="0"/>
        <w:jc w:val="center"/>
        <w:rPr>
          <w:b/>
          <w:bCs/>
        </w:rPr>
      </w:pPr>
      <w:r w:rsidRPr="001A75AD">
        <w:rPr>
          <w:b/>
          <w:bCs/>
        </w:rPr>
        <w:t>Guía de entrevista a especialistas</w:t>
      </w:r>
    </w:p>
    <w:p w:rsidR="001A75AD" w:rsidRPr="001F2884" w:rsidRDefault="001F2884" w:rsidP="001F2884">
      <w:pPr>
        <w:jc w:val="both"/>
        <w:rPr>
          <w:sz w:val="20"/>
          <w:szCs w:val="20"/>
        </w:rPr>
      </w:pPr>
      <w:r w:rsidRPr="001F2884">
        <w:rPr>
          <w:bCs/>
          <w:sz w:val="20"/>
          <w:szCs w:val="20"/>
        </w:rPr>
        <w:t>NOTA:</w:t>
      </w:r>
      <w:r w:rsidRPr="001F2884">
        <w:rPr>
          <w:b/>
          <w:bCs/>
          <w:sz w:val="20"/>
          <w:szCs w:val="20"/>
        </w:rPr>
        <w:t xml:space="preserve"> </w:t>
      </w:r>
      <w:r w:rsidR="001A75AD" w:rsidRPr="001F2884">
        <w:rPr>
          <w:sz w:val="20"/>
          <w:szCs w:val="20"/>
        </w:rPr>
        <w:t>La presente es una guía para realizar una entrevista personal. Busca provocar el discurso en cada uno de los indicadores propuestos.</w:t>
      </w:r>
    </w:p>
    <w:p w:rsidR="001A75AD" w:rsidRDefault="001A75AD" w:rsidP="001A75AD">
      <w:pPr>
        <w:autoSpaceDE w:val="0"/>
        <w:autoSpaceDN w:val="0"/>
        <w:adjustRightInd w:val="0"/>
        <w:jc w:val="both"/>
      </w:pP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1. Surgimiento de la disciplina.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2. Necesidades sociales a las que responde.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3. Evolución de la disciplina.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4. Posturas o tendencias de vanguardia dentro de la disciplina.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5. Problemática central de la opción profesional y de la disciplina.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6. Valoración de la formación profesional que se ofrece.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7. Visualización de la oferta y la demanda.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8. Imagen que se tiene de la opción profesional y de la profesión.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9. Características generales de la formación profesional.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10. Campos de trabajo reales y futuros.</w:t>
      </w:r>
    </w:p>
    <w:p w:rsidR="001A75AD" w:rsidRDefault="001A75AD" w:rsidP="001A75AD">
      <w:pPr>
        <w:autoSpaceDE w:val="0"/>
        <w:autoSpaceDN w:val="0"/>
        <w:adjustRightInd w:val="0"/>
        <w:ind w:left="1800"/>
        <w:jc w:val="both"/>
      </w:pPr>
      <w:r>
        <w:t>11. Impacto social de la opción profesional.</w:t>
      </w:r>
    </w:p>
    <w:p w:rsidR="001A75AD" w:rsidRDefault="001A75AD" w:rsidP="001A75AD">
      <w:pPr>
        <w:ind w:left="708" w:hanging="282"/>
        <w:jc w:val="both"/>
      </w:pPr>
    </w:p>
    <w:p w:rsidR="00271FDD" w:rsidRDefault="00271FDD"/>
    <w:sectPr w:rsidR="00271FD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EE6" w:rsidRDefault="00E11EE6" w:rsidP="001F2884">
      <w:r>
        <w:separator/>
      </w:r>
    </w:p>
  </w:endnote>
  <w:endnote w:type="continuationSeparator" w:id="0">
    <w:p w:rsidR="00E11EE6" w:rsidRDefault="00E11EE6" w:rsidP="001F2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EE6" w:rsidRDefault="00E11EE6" w:rsidP="001F2884">
      <w:r>
        <w:separator/>
      </w:r>
    </w:p>
  </w:footnote>
  <w:footnote w:type="continuationSeparator" w:id="0">
    <w:p w:rsidR="00E11EE6" w:rsidRDefault="00E11EE6" w:rsidP="001F2884">
      <w:r>
        <w:continuationSeparator/>
      </w:r>
    </w:p>
  </w:footnote>
  <w:footnote w:id="1">
    <w:p w:rsidR="001F2884" w:rsidRDefault="001F2884" w:rsidP="001F2884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>
        <w:rPr>
          <w:sz w:val="18"/>
          <w:szCs w:val="18"/>
        </w:rPr>
        <w:t xml:space="preserve"> pág. 33</w:t>
      </w:r>
    </w:p>
    <w:p w:rsidR="001F2884" w:rsidRDefault="001F2884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884" w:rsidRDefault="001F2884" w:rsidP="001F2884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6BAAA" wp14:editId="0073D7AA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2884" w:rsidRDefault="001F2884" w:rsidP="001F2884">
    <w:pPr>
      <w:jc w:val="center"/>
    </w:pPr>
    <w:r>
      <w:t xml:space="preserve">             Guía para el diseño de proyectos curriculares con el enfoque de competencias. UV (2005)</w:t>
    </w:r>
  </w:p>
  <w:p w:rsidR="001F2884" w:rsidRDefault="001F2884" w:rsidP="001F2884"/>
  <w:p w:rsidR="001F2884" w:rsidRDefault="001F2884" w:rsidP="001F2884">
    <w:pPr>
      <w:jc w:val="center"/>
    </w:pPr>
    <w:r>
      <w:t xml:space="preserve">Fundamentación: Análisis del Campo Profesional </w:t>
    </w:r>
  </w:p>
  <w:p w:rsidR="001F2884" w:rsidRDefault="001F288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5AD"/>
    <w:rsid w:val="001A75AD"/>
    <w:rsid w:val="001F2884"/>
    <w:rsid w:val="00271FDD"/>
    <w:rsid w:val="003E50D6"/>
    <w:rsid w:val="006E6931"/>
    <w:rsid w:val="008D2C2C"/>
    <w:rsid w:val="00E1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514AC2-F51C-421A-8095-E103BE910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F2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2884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1F288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2884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F288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F2884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1F28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43576-B451-476D-875A-DB2234500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Desarrollo C</cp:lastModifiedBy>
  <cp:revision>1</cp:revision>
  <dcterms:created xsi:type="dcterms:W3CDTF">2016-04-13T16:25:00Z</dcterms:created>
  <dcterms:modified xsi:type="dcterms:W3CDTF">2016-09-30T17:50:00Z</dcterms:modified>
</cp:coreProperties>
</file>